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6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969"/>
        <w:gridCol w:w="4724"/>
      </w:tblGrid>
      <w:tr>
        <w:trPr/>
        <w:tc>
          <w:tcPr>
            <w:tcW w:w="4969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 xml:space="preserve">   </w:t>
            </w:r>
            <w:r>
              <w:rPr/>
              <w:drawing>
                <wp:inline distT="0" distB="0" distL="0" distR="0">
                  <wp:extent cx="438785" cy="562610"/>
                  <wp:effectExtent l="0" t="0" r="0" b="0"/>
                  <wp:docPr id="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56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pacing w:val="-20"/>
                <w:szCs w:val="24"/>
              </w:rPr>
            </w:pPr>
            <w:r>
              <w:rPr>
                <w:rFonts w:ascii="Liberation Serif" w:hAnsi="Liberation Serif"/>
                <w:spacing w:val="-20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Орган местного самоуправления, уполномоченный в сфере управления муниципальным имуществом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«Управление муниципальным имуществом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городского округа Красноуфимск»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Советская ул., д. 25-112, г.Красноуфимск, Свердловская область, 623300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тел./факс: (34394) 5-16-91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  <w:lang w:val="en-US"/>
              </w:rPr>
              <w:t>e</w:t>
            </w:r>
            <w:r>
              <w:rPr>
                <w:rFonts w:ascii="Liberation Serif" w:hAnsi="Liberation Serif"/>
                <w:szCs w:val="24"/>
              </w:rPr>
              <w:t xml:space="preserve"> – </w:t>
            </w:r>
            <w:r>
              <w:rPr>
                <w:rFonts w:ascii="Liberation Serif" w:hAnsi="Liberation Serif"/>
                <w:szCs w:val="24"/>
                <w:lang w:val="en-US"/>
              </w:rPr>
              <w:t>mail</w:t>
            </w:r>
            <w:r>
              <w:rPr>
                <w:rFonts w:ascii="Liberation Serif" w:hAnsi="Liberation Serif"/>
                <w:szCs w:val="24"/>
              </w:rPr>
              <w:t xml:space="preserve">: </w:t>
            </w:r>
            <w:hyperlink r:id="rId3">
              <w:r>
                <w:rPr>
                  <w:rFonts w:ascii="Liberation Serif" w:hAnsi="Liberation Serif"/>
                  <w:szCs w:val="24"/>
                  <w:lang w:val="en-US"/>
                </w:rPr>
                <w:t>umi</w:t>
              </w:r>
              <w:r>
                <w:rPr>
                  <w:rFonts w:ascii="Liberation Serif" w:hAnsi="Liberation Serif"/>
                  <w:szCs w:val="24"/>
                </w:rPr>
                <w:t>@</w:t>
              </w:r>
              <w:r>
                <w:rPr>
                  <w:rFonts w:ascii="Liberation Serif" w:hAnsi="Liberation Serif"/>
                  <w:szCs w:val="24"/>
                  <w:lang w:val="en-US"/>
                </w:rPr>
                <w:t>krasnoufimsk</w:t>
              </w:r>
              <w:r>
                <w:rPr>
                  <w:rFonts w:ascii="Liberation Serif" w:hAnsi="Liberation Serif"/>
                  <w:szCs w:val="24"/>
                </w:rPr>
                <w:t>.</w:t>
              </w:r>
              <w:r>
                <w:rPr>
                  <w:rFonts w:ascii="Liberation Serif" w:hAnsi="Liberation Serif"/>
                  <w:szCs w:val="24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ОКПО 36423466 ОГРН 1026601228961</w:t>
            </w:r>
          </w:p>
          <w:p>
            <w:pPr>
              <w:pStyle w:val="Style17"/>
              <w:widowControl w:val="false"/>
              <w:jc w:val="center"/>
              <w:rPr>
                <w:rFonts w:ascii="Liberation Serif" w:hAnsi="Liberation Serif"/>
                <w:b w:val="false"/>
                <w:b w:val="false"/>
              </w:rPr>
            </w:pPr>
            <w:r>
              <w:rPr>
                <w:rFonts w:ascii="Liberation Serif" w:hAnsi="Liberation Serif"/>
                <w:b w:val="false"/>
              </w:rPr>
              <w:t>ИНН/КПП 6619007115/661901001</w:t>
            </w:r>
          </w:p>
        </w:tc>
        <w:tc>
          <w:tcPr>
            <w:tcW w:w="4724" w:type="dxa"/>
            <w:tcBorders/>
          </w:tcPr>
          <w:p>
            <w:pPr>
              <w:pStyle w:val="Normal"/>
              <w:widowControl w:val="false"/>
              <w:ind w:left="-380" w:firstLine="380"/>
              <w:jc w:val="center"/>
              <w:rPr>
                <w:rFonts w:ascii="Liberation Serif" w:hAnsi="Liberation Serif"/>
                <w:b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</w:r>
          </w:p>
          <w:p>
            <w:pPr>
              <w:pStyle w:val="Normal"/>
              <w:widowControl w:val="false"/>
              <w:ind w:left="-380" w:firstLine="380"/>
              <w:jc w:val="center"/>
              <w:rPr>
                <w:rFonts w:ascii="Liberation Serif" w:hAnsi="Liberation Serif"/>
                <w:b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</w:r>
          </w:p>
          <w:p>
            <w:pPr>
              <w:pStyle w:val="Normal"/>
              <w:widowControl w:val="false"/>
              <w:ind w:left="-380" w:firstLine="380"/>
              <w:jc w:val="center"/>
              <w:rPr>
                <w:rFonts w:ascii="Liberation Serif" w:hAnsi="Liberation Serif"/>
                <w:b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</w:r>
          </w:p>
          <w:p>
            <w:pPr>
              <w:pStyle w:val="Normal"/>
              <w:widowControl w:val="false"/>
              <w:ind w:left="-380" w:firstLine="380"/>
              <w:jc w:val="center"/>
              <w:rPr>
                <w:rFonts w:ascii="Liberation Serif" w:hAnsi="Liberation Serif"/>
                <w:b/>
                <w:b/>
                <w:bCs/>
                <w:szCs w:val="24"/>
              </w:rPr>
            </w:pPr>
            <w:r>
              <w:rPr>
                <w:rFonts w:ascii="Liberation Serif" w:hAnsi="Liberation Serif"/>
                <w:b/>
                <w:bCs/>
                <w:szCs w:val="24"/>
              </w:rPr>
            </w:r>
          </w:p>
          <w:p>
            <w:pPr>
              <w:pStyle w:val="Normal"/>
              <w:widowControl w:val="false"/>
              <w:ind w:left="-380" w:firstLine="38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Официальный сайт Администрации городского округа Красноуфимск</w:t>
            </w:r>
          </w:p>
          <w:p>
            <w:pPr>
              <w:pStyle w:val="Normal"/>
              <w:widowControl w:val="false"/>
              <w:ind w:left="-380" w:firstLine="380"/>
              <w:jc w:val="center"/>
              <w:rPr>
                <w:rFonts w:ascii="Liberation Serif" w:hAnsi="Liberation Serif"/>
                <w:b/>
                <w:b/>
                <w:szCs w:val="24"/>
              </w:rPr>
            </w:pPr>
            <w:r>
              <w:rPr>
                <w:rStyle w:val="FontStyle21"/>
                <w:rFonts w:ascii="Liberation Serif" w:hAnsi="Liberation Serif"/>
              </w:rPr>
              <w:t xml:space="preserve"> </w:t>
            </w:r>
            <w:r>
              <w:rPr>
                <w:rStyle w:val="FontStyle21"/>
                <w:rFonts w:ascii="Liberation Serif" w:hAnsi="Liberation Serif"/>
              </w:rPr>
              <w:t>в сети «Интернет»</w:t>
            </w:r>
          </w:p>
          <w:p>
            <w:pPr>
              <w:pStyle w:val="Normal"/>
              <w:widowControl w:val="false"/>
              <w:ind w:left="-71" w:hanging="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</w:r>
          </w:p>
          <w:p>
            <w:pPr>
              <w:pStyle w:val="Normal"/>
              <w:widowControl w:val="false"/>
              <w:ind w:left="-71" w:hanging="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 xml:space="preserve">Официальный сайт торгов Российской Федерации </w:t>
            </w:r>
            <w:r>
              <w:rPr>
                <w:rStyle w:val="FontStyle21"/>
                <w:rFonts w:ascii="Liberation Serif" w:hAnsi="Liberation Serif"/>
              </w:rPr>
              <w:t>в сети «Интернет»</w:t>
            </w:r>
          </w:p>
        </w:tc>
      </w:tr>
    </w:tbl>
    <w:p>
      <w:pPr>
        <w:pStyle w:val="Normal"/>
        <w:shd w:val="clear" w:color="auto" w:fill="FFFFFF"/>
        <w:ind w:right="24" w:hanging="0"/>
        <w:rPr>
          <w:rFonts w:ascii="Liberation Serif" w:hAnsi="Liberation Serif"/>
          <w:spacing w:val="-4"/>
          <w:szCs w:val="24"/>
        </w:rPr>
      </w:pPr>
      <w:r>
        <w:rPr>
          <w:rFonts w:eastAsia="Times New Roman" w:cs="Times New Roman" w:ascii="Liberation Serif" w:hAnsi="Liberation Serif"/>
          <w:color w:val="auto"/>
          <w:spacing w:val="-4"/>
          <w:kern w:val="0"/>
          <w:sz w:val="24"/>
          <w:szCs w:val="24"/>
          <w:lang w:val="ru-RU" w:eastAsia="ru-RU" w:bidi="ar-SA"/>
        </w:rPr>
        <w:t xml:space="preserve">28.02.2022 </w:t>
      </w:r>
      <w:r>
        <w:rPr>
          <w:rFonts w:ascii="Liberation Serif" w:hAnsi="Liberation Serif"/>
          <w:spacing w:val="-4"/>
          <w:szCs w:val="24"/>
        </w:rPr>
        <w:t xml:space="preserve">_№ </w:t>
      </w:r>
      <w:r>
        <w:rPr>
          <w:rFonts w:eastAsia="Times New Roman" w:cs="Times New Roman" w:ascii="Liberation Serif" w:hAnsi="Liberation Serif"/>
          <w:color w:val="auto"/>
          <w:spacing w:val="-4"/>
          <w:kern w:val="0"/>
          <w:sz w:val="24"/>
          <w:szCs w:val="24"/>
          <w:lang w:val="ru-RU" w:eastAsia="ru-RU" w:bidi="ar-SA"/>
        </w:rPr>
        <w:t>01-361</w:t>
      </w:r>
    </w:p>
    <w:p>
      <w:pPr>
        <w:pStyle w:val="Normal"/>
        <w:shd w:val="clear" w:color="auto" w:fill="FFFFFF"/>
        <w:ind w:right="24" w:hanging="0"/>
        <w:rPr>
          <w:rFonts w:ascii="Liberation Serif" w:hAnsi="Liberation Serif"/>
          <w:spacing w:val="-4"/>
          <w:szCs w:val="24"/>
        </w:rPr>
      </w:pPr>
      <w:r>
        <w:rPr>
          <w:rFonts w:ascii="Liberation Serif" w:hAnsi="Liberation Serif"/>
          <w:spacing w:val="-4"/>
          <w:szCs w:val="24"/>
        </w:rPr>
        <w:t>на № __________ от ________</w:t>
      </w:r>
    </w:p>
    <w:p>
      <w:pPr>
        <w:pStyle w:val="Normal"/>
        <w:ind w:firstLine="709"/>
        <w:jc w:val="center"/>
        <w:rPr>
          <w:szCs w:val="24"/>
        </w:rPr>
      </w:pPr>
      <w:r>
        <w:rPr>
          <w:szCs w:val="24"/>
        </w:rPr>
        <w:t>Информационное сообщение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sz w:val="24"/>
          <w:szCs w:val="24"/>
        </w:rPr>
        <w:t xml:space="preserve">ОМС «Управление муниципальным имуществом городского округа Красноуфимск» на </w:t>
      </w:r>
      <w:r>
        <w:rPr>
          <w:rStyle w:val="FontStyle14"/>
          <w:sz w:val="24"/>
          <w:szCs w:val="24"/>
        </w:rPr>
        <w:t>основании решения Думы городского округа Красноуфимск от 28.10.2021 № 2/7 "Об утверждении программы приватизации муниципальной собственности городского округа Красноуфимск на 2022 год" (в редакциях решения Думы ГО Красноуфимск №4/3 от 23.12.2021 года)</w:t>
      </w:r>
      <w:r>
        <w:rPr>
          <w:sz w:val="24"/>
          <w:szCs w:val="24"/>
        </w:rPr>
        <w:t xml:space="preserve">, </w:t>
      </w:r>
      <w:r>
        <w:rPr>
          <w:rStyle w:val="FontStyle14"/>
          <w:sz w:val="24"/>
          <w:szCs w:val="24"/>
        </w:rPr>
        <w:t>в соответствии с Федеральным законом от 21.12.2001 N 178-ФЗ (ред. от 31.07.2020) "О приватизации государственного и муниципального имущества"</w:t>
      </w:r>
      <w:r>
        <w:rPr>
          <w:sz w:val="24"/>
          <w:szCs w:val="24"/>
        </w:rPr>
        <w:t xml:space="preserve">, Постановления Правительства РФ от 27.08.2012 N 860 (ред. от 29.07.2020) "Об организации и проведении продажи государственного или муниципального имущества в электронной форме" (вместе с "Положением об организации и проведении продажи государственного или муниципального имущества в электронной форме"), </w:t>
      </w:r>
      <w:r>
        <w:rPr>
          <w:rFonts w:cs="Liberation Serif;Times New Roman"/>
          <w:sz w:val="24"/>
          <w:szCs w:val="24"/>
        </w:rPr>
        <w:t xml:space="preserve">Положением об органе местного самоуправления, уполномоченном в сфере управления муниципальным имуществом «Управление муниципальным имуществом городского округа Красноуфимск», утвержденным решением Думы городского округа Красноуфимск от 22.12.2005 года № 25/9 (с изменениями), </w:t>
      </w:r>
      <w:r>
        <w:rPr>
          <w:sz w:val="24"/>
          <w:szCs w:val="24"/>
        </w:rPr>
        <w:t xml:space="preserve">ст. </w:t>
      </w:r>
      <w:r>
        <w:rPr>
          <w:color w:val="auto"/>
          <w:sz w:val="24"/>
          <w:szCs w:val="24"/>
        </w:rPr>
        <w:t>ст. 6, 34</w:t>
      </w:r>
      <w:r>
        <w:rPr>
          <w:sz w:val="24"/>
          <w:szCs w:val="24"/>
        </w:rPr>
        <w:t xml:space="preserve"> Устава городского округа Красноуфимск</w:t>
      </w:r>
      <w:r>
        <w:rPr>
          <w:rStyle w:val="FontStyle14"/>
          <w:sz w:val="24"/>
          <w:szCs w:val="24"/>
        </w:rPr>
        <w:t xml:space="preserve">, </w:t>
      </w:r>
      <w:r>
        <w:rPr>
          <w:sz w:val="24"/>
          <w:szCs w:val="24"/>
        </w:rPr>
        <w:t>распоряжения ОМС «Управление муниципальным имуществом городского округа Красноуфимск» № 42 от 25.02.2022 г. «</w:t>
      </w:r>
      <w:r>
        <w:rPr>
          <w:rStyle w:val="FontStyle21"/>
          <w:rFonts w:eastAsia="Liberation Serif;Times New Roman" w:cs="Liberation Serif;Times New Roman"/>
          <w:b w:val="false"/>
          <w:bCs w:val="false"/>
          <w:i w:val="false"/>
          <w:iCs w:val="false"/>
          <w:sz w:val="24"/>
          <w:szCs w:val="24"/>
        </w:rPr>
        <w:t xml:space="preserve">Об утверждении  </w:t>
      </w:r>
      <w:r>
        <w:rPr>
          <w:rFonts w:cs="Liberation Serif;Times New Roman"/>
          <w:b w:val="false"/>
          <w:bCs w:val="false"/>
          <w:i w:val="false"/>
          <w:iCs w:val="false"/>
          <w:sz w:val="24"/>
          <w:szCs w:val="24"/>
        </w:rPr>
        <w:t xml:space="preserve">условий приватизации имущества, находящегося в муниципальной собственности городского округа Красноуфимск на торгах посредством аукциона с открытой формой подачи предложений о цене в электронной форме: транспортное средство </w:t>
      </w:r>
      <w:r>
        <w:rPr>
          <w:rFonts w:cs="Liberation Serif;Times New Roman"/>
          <w:b w:val="false"/>
          <w:bCs w:val="false"/>
          <w:i w:val="false"/>
          <w:iCs w:val="false"/>
          <w:sz w:val="24"/>
          <w:szCs w:val="24"/>
          <w:lang w:val="en-US"/>
        </w:rPr>
        <w:t>Nissan</w:t>
      </w:r>
      <w:r>
        <w:rPr>
          <w:rFonts w:cs="Liberation Serif;Times New Roman"/>
          <w:b w:val="false"/>
          <w:bCs w:val="false"/>
          <w:i w:val="false"/>
          <w:iCs w:val="false"/>
          <w:sz w:val="24"/>
          <w:szCs w:val="24"/>
        </w:rPr>
        <w:t xml:space="preserve"> </w:t>
      </w:r>
      <w:r>
        <w:rPr>
          <w:rFonts w:cs="Liberation Serif;Times New Roman"/>
          <w:b w:val="false"/>
          <w:bCs w:val="false"/>
          <w:i w:val="false"/>
          <w:iCs w:val="false"/>
          <w:sz w:val="24"/>
          <w:szCs w:val="24"/>
          <w:lang w:val="en-US"/>
        </w:rPr>
        <w:t>Almera</w:t>
      </w:r>
      <w:r>
        <w:rPr>
          <w:rFonts w:cs="Liberation Serif;Times New Roman"/>
          <w:b w:val="false"/>
          <w:bCs w:val="false"/>
          <w:i w:val="false"/>
          <w:iCs w:val="false"/>
          <w:sz w:val="24"/>
          <w:szCs w:val="24"/>
        </w:rPr>
        <w:t xml:space="preserve"> </w:t>
      </w:r>
      <w:r>
        <w:rPr>
          <w:rFonts w:cs="Liberation Serif;Times New Roman"/>
          <w:b w:val="false"/>
          <w:bCs w:val="false"/>
          <w:i w:val="false"/>
          <w:iCs w:val="false"/>
          <w:sz w:val="24"/>
          <w:szCs w:val="24"/>
          <w:lang w:val="en-US"/>
        </w:rPr>
        <w:t>Classic</w:t>
      </w:r>
      <w:r>
        <w:rPr>
          <w:b w:val="false"/>
          <w:bCs w:val="false"/>
          <w:i w:val="false"/>
          <w:iCs w:val="false"/>
          <w:sz w:val="24"/>
          <w:szCs w:val="24"/>
        </w:rPr>
        <w:t>»</w:t>
      </w:r>
      <w:r>
        <w:rPr>
          <w:rStyle w:val="FontStyle14"/>
          <w:sz w:val="24"/>
          <w:szCs w:val="24"/>
        </w:rPr>
        <w:t xml:space="preserve">, </w:t>
      </w:r>
      <w:r>
        <w:rPr>
          <w:sz w:val="24"/>
          <w:szCs w:val="24"/>
        </w:rPr>
        <w:t xml:space="preserve">объявляет о проведении электронных торгов в форме аукциона </w:t>
      </w:r>
      <w:r>
        <w:rPr>
          <w:sz w:val="24"/>
          <w:szCs w:val="24"/>
          <w:lang w:val="ru-RU"/>
        </w:rPr>
        <w:t>о</w:t>
      </w:r>
      <w:r>
        <w:rPr>
          <w:sz w:val="24"/>
          <w:szCs w:val="24"/>
        </w:rPr>
        <w:t>ткрытый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составу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открытый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подачи предложений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цене продажи объектов муниципальной собственности  ГО Красноуфимск на электронной площадке  Сбербанк – АСТ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Дата и время проведения аукциона - </w:t>
      </w:r>
      <w:r>
        <w:rPr>
          <w:b/>
          <w:bCs/>
          <w:sz w:val="24"/>
          <w:szCs w:val="24"/>
        </w:rPr>
        <w:t>06.</w:t>
      </w:r>
      <w:r>
        <w:rPr>
          <w:b/>
          <w:sz w:val="24"/>
          <w:szCs w:val="24"/>
        </w:rPr>
        <w:t>04.</w:t>
      </w:r>
      <w:r>
        <w:rPr>
          <w:b/>
          <w:bCs/>
          <w:sz w:val="24"/>
          <w:szCs w:val="24"/>
        </w:rPr>
        <w:t xml:space="preserve">2022 года в 09.00 часов (время московское)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Организатором аукциона в электронной форме (далее аукцион) и продавцом муниципального имущества городского округа Красноуфимск в данных торгах выступает Орган  местного самоуправления «Управление муниципальным имуществом городского округа Красноуфимск» (место нахождения: Свердловская область, город Красноуфимск, улица Советская, 25, офис 112, </w:t>
      </w:r>
      <w:r>
        <w:rPr>
          <w:sz w:val="24"/>
          <w:szCs w:val="24"/>
          <w:lang w:val="en-US"/>
        </w:rPr>
        <w:t>umi@krasnoufimsk.ru)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Способ приватизации: продажа муниципального имущества на аукционе (электронный аукцион).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sz w:val="24"/>
          <w:szCs w:val="24"/>
        </w:rPr>
        <w:t xml:space="preserve">Информационное сообщение является публичной офертой для заключения договора о задатке в соответствии со </w:t>
      </w:r>
      <w:hyperlink r:id="rId4">
        <w:r>
          <w:rPr>
            <w:sz w:val="24"/>
            <w:szCs w:val="24"/>
          </w:rPr>
          <w:t>ст. 437</w:t>
        </w:r>
      </w:hyperlink>
      <w:r>
        <w:rPr>
          <w:sz w:val="24"/>
          <w:szCs w:val="24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а договор о </w:t>
      </w:r>
      <w:r>
        <w:rPr>
          <w:rFonts w:ascii="Times New Roman" w:hAnsi="Times New Roman"/>
          <w:sz w:val="24"/>
          <w:szCs w:val="24"/>
        </w:rPr>
        <w:t>задатке считается заключенным в установленном порядке.</w:t>
      </w:r>
    </w:p>
    <w:p>
      <w:pPr>
        <w:pStyle w:val="Normal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ab/>
        <w:t>О</w:t>
      </w: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p>
      <w:pPr>
        <w:pStyle w:val="ListParagraph"/>
        <w:numPr>
          <w:ilvl w:val="0"/>
          <w:numId w:val="1"/>
        </w:numPr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Информация об объекте продажи.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Лот 1: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транспортное средство (марка, модель) </w:t>
      </w:r>
      <w:r>
        <w:rPr>
          <w:sz w:val="24"/>
          <w:szCs w:val="24"/>
          <w:lang w:val="en-US" w:eastAsia="zh-CN"/>
        </w:rPr>
        <w:t>Nissan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val="en-US" w:eastAsia="zh-CN"/>
        </w:rPr>
        <w:t>Almera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Classic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государственный номер Р 157 ХУ 96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тип ТС: Легковой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идентификационный номер (VIN): </w:t>
      </w:r>
      <w:r>
        <w:rPr>
          <w:sz w:val="24"/>
          <w:szCs w:val="24"/>
          <w:lang w:val="en-US" w:eastAsia="zh-CN"/>
        </w:rPr>
        <w:t>KNMCSHLMSBP</w:t>
      </w:r>
      <w:r>
        <w:rPr>
          <w:sz w:val="24"/>
          <w:szCs w:val="24"/>
          <w:lang w:eastAsia="zh-CN"/>
        </w:rPr>
        <w:t>820283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наименование: легковой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год изготовления: 2010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модель, № двигателя: </w:t>
      </w:r>
      <w:r>
        <w:rPr>
          <w:sz w:val="24"/>
          <w:szCs w:val="24"/>
          <w:lang w:val="en-US" w:eastAsia="zh-CN"/>
        </w:rPr>
        <w:t>QG</w:t>
      </w:r>
      <w:r>
        <w:rPr>
          <w:sz w:val="24"/>
          <w:szCs w:val="24"/>
          <w:lang w:eastAsia="zh-CN"/>
        </w:rPr>
        <w:t>16 347393</w:t>
      </w:r>
      <w:r>
        <w:rPr>
          <w:sz w:val="24"/>
          <w:szCs w:val="24"/>
          <w:lang w:val="en-US" w:eastAsia="zh-CN"/>
        </w:rPr>
        <w:t>H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шасси (рама) №: отсутствует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кузов (кабина, прицеп) №: </w:t>
      </w:r>
      <w:r>
        <w:rPr>
          <w:sz w:val="24"/>
          <w:szCs w:val="24"/>
          <w:lang w:val="en-US" w:eastAsia="zh-CN"/>
        </w:rPr>
        <w:t>KNMCSHLMSBP</w:t>
      </w:r>
      <w:r>
        <w:rPr>
          <w:sz w:val="24"/>
          <w:szCs w:val="24"/>
          <w:lang w:eastAsia="zh-CN"/>
        </w:rPr>
        <w:t>820283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цвет кузова (кабины, прицепа): </w:t>
      </w:r>
      <w:r>
        <w:rPr>
          <w:sz w:val="24"/>
          <w:szCs w:val="24"/>
          <w:lang w:eastAsia="zh-CN"/>
        </w:rPr>
        <w:t>черный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zh-CN"/>
        </w:rPr>
        <w:t>мощность двигателя: 107 л.с., 78,5 кВт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zh-CN"/>
        </w:rPr>
        <w:t>рабочий объем двигателя, куб.см: 1596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/>
        </w:rPr>
      </w:pPr>
      <w:r>
        <w:rPr/>
        <w:t>Обременения: отсутствуют.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/>
        </w:rPr>
      </w:pPr>
      <w:r>
        <w:rPr/>
        <w:t>Комплектация: с комплектом зимней резины 4 шт.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/>
        </w:rPr>
      </w:pPr>
      <w:r>
        <w:rPr/>
        <w:t>Примечание: требуется замена аккумулятора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/>
        </w:rPr>
      </w:pPr>
      <w:r>
        <w:rPr/>
        <w:t xml:space="preserve">Начальная стоимость с учетом  округления, включая в себя НДС, составляет </w:t>
      </w:r>
      <w:r>
        <w:rPr>
          <w:rFonts w:eastAsia="Times New Roman" w:cs="Times New Roman"/>
          <w:color w:val="auto"/>
          <w:sz w:val="24"/>
          <w:szCs w:val="24"/>
          <w:lang w:val="ru-RU" w:eastAsia="zh-CN" w:bidi="ar-SA"/>
        </w:rPr>
        <w:t>297024</w:t>
      </w:r>
      <w:r>
        <w:rPr/>
        <w:t xml:space="preserve"> (двести </w:t>
      </w:r>
      <w:r>
        <w:rPr>
          <w:rFonts w:eastAsia="Times New Roman" w:cs="Times New Roman"/>
          <w:color w:val="auto"/>
          <w:sz w:val="24"/>
          <w:szCs w:val="24"/>
          <w:lang w:val="ru-RU" w:eastAsia="zh-CN" w:bidi="ar-SA"/>
        </w:rPr>
        <w:t>девяносто семь тысяч двадцать четыре</w:t>
      </w:r>
      <w:r>
        <w:rPr/>
        <w:t xml:space="preserve">) рубля 00 копеек. 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/>
        </w:rPr>
      </w:pPr>
      <w:r>
        <w:rPr/>
        <w:t xml:space="preserve">«Шаг аукциона» 5 % от начальной стоимости продаваемого имущества – 14851 (четырнадцать тысяч </w:t>
      </w:r>
      <w:r>
        <w:rPr>
          <w:rFonts w:eastAsia="Times New Roman" w:cs="Times New Roman"/>
          <w:color w:val="auto"/>
          <w:sz w:val="24"/>
          <w:szCs w:val="24"/>
          <w:lang w:val="ru-RU" w:eastAsia="zh-CN" w:bidi="ar-SA"/>
        </w:rPr>
        <w:t>восемьсот пятьдесят один</w:t>
      </w:r>
      <w:r>
        <w:rPr/>
        <w:t xml:space="preserve">) руб. 20 коп. 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/>
        </w:rPr>
      </w:pPr>
      <w:r>
        <w:rPr/>
        <w:t xml:space="preserve">Сумма задатка составляет 20 % от начальной стоимости – </w:t>
      </w:r>
      <w:r>
        <w:rPr>
          <w:rFonts w:eastAsia="Times New Roman" w:cs="Times New Roman"/>
          <w:color w:val="auto"/>
          <w:sz w:val="24"/>
          <w:szCs w:val="24"/>
          <w:lang w:val="ru-RU" w:eastAsia="zh-CN" w:bidi="ar-SA"/>
        </w:rPr>
        <w:t>59404</w:t>
      </w:r>
      <w:r>
        <w:rPr/>
        <w:t xml:space="preserve"> (пятьдесят </w:t>
      </w:r>
      <w:r>
        <w:rPr>
          <w:rFonts w:eastAsia="Times New Roman" w:cs="Times New Roman"/>
          <w:color w:val="auto"/>
          <w:sz w:val="24"/>
          <w:szCs w:val="24"/>
          <w:lang w:val="ru-RU" w:eastAsia="zh-CN" w:bidi="ar-SA"/>
        </w:rPr>
        <w:t>девять</w:t>
      </w:r>
      <w:r>
        <w:rPr/>
        <w:t xml:space="preserve"> тысяч </w:t>
      </w:r>
      <w:r>
        <w:rPr>
          <w:rFonts w:eastAsia="Times New Roman" w:cs="Times New Roman"/>
          <w:color w:val="auto"/>
          <w:sz w:val="24"/>
          <w:szCs w:val="24"/>
          <w:lang w:val="ru-RU" w:eastAsia="zh-CN" w:bidi="ar-SA"/>
        </w:rPr>
        <w:t>четыреста четыре</w:t>
      </w:r>
      <w:r>
        <w:rPr/>
        <w:t>) рубля 80 копеек.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zh-CN"/>
        </w:rPr>
        <w:t xml:space="preserve">Рыночная стоимость 234 000 (двести тридцать четыре тысячи) руб. 00 коп. (без НДС) определена на основании отчета № 74-2022 от 09.01.2022 г. об оценке рыночной стоимости автомобиля </w:t>
      </w:r>
      <w:r>
        <w:rPr>
          <w:sz w:val="24"/>
          <w:szCs w:val="24"/>
          <w:lang w:val="en-US" w:eastAsia="zh-CN"/>
        </w:rPr>
        <w:t>Nissan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val="en-US" w:eastAsia="zh-CN"/>
        </w:rPr>
        <w:t>Almera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val="en-US" w:eastAsia="zh-CN"/>
        </w:rPr>
        <w:t>Classic</w:t>
      </w:r>
      <w:r>
        <w:rPr>
          <w:sz w:val="24"/>
          <w:szCs w:val="24"/>
          <w:lang w:eastAsia="zh-CN"/>
        </w:rPr>
        <w:t>, гос номер Р157ХУ96, составленного частнопрактикующим оценщиком О.Н. Шоноховой. Стоимость комплекта а</w:t>
      </w:r>
      <w:r>
        <w:rPr>
          <w:rFonts w:eastAsia="Times New Roman" w:cs="Liberation Serif;Times New Roman"/>
          <w:color w:val="000000"/>
          <w:sz w:val="24"/>
          <w:szCs w:val="24"/>
          <w:shd w:fill="auto" w:val="clear"/>
          <w:lang w:val="ru-RU" w:eastAsia="zh-CN" w:bidi="ar-SA"/>
        </w:rPr>
        <w:t>втошин (зима) 14</w:t>
      </w:r>
      <w:r>
        <w:rPr>
          <w:rFonts w:eastAsia="Times New Roman" w:cs="Liberation Serif;Times New Roman"/>
          <w:color w:val="000000"/>
          <w:sz w:val="24"/>
          <w:szCs w:val="24"/>
          <w:shd w:fill="auto" w:val="clear"/>
          <w:lang w:val="en-US" w:eastAsia="zh-CN" w:bidi="ar-SA"/>
        </w:rPr>
        <w:t xml:space="preserve">R 175/65 Bridgestone Blizzak Spike-02 82T, </w:t>
      </w:r>
      <w:r>
        <w:rPr>
          <w:rFonts w:eastAsia="Times New Roman" w:cs="Liberation Serif;Times New Roman"/>
          <w:color w:val="000000"/>
          <w:sz w:val="24"/>
          <w:szCs w:val="24"/>
          <w:shd w:fill="auto" w:val="clear"/>
          <w:lang w:val="ru-RU" w:eastAsia="zh-CN" w:bidi="ar-SA"/>
        </w:rPr>
        <w:t>количество 4 шт. - 13520 (тринадцать тысяч пятьсот двадцать) рублей 00 копеек (без НДС) определена в соответствии  накладной №ДО00-000001 от 12.01.2022 г.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Сведения обо всех предыдущих торгах по продаже имущества, указанного в лоте №1 объявленных в течение года, предшествующего его продаже, и об итогах торгов по продаже такого имущества: имущество под лотом № 1 на торги выставляется впервые.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Продажа муниципального имущества городского округа Красноуфимск на торгах посредством аукциона с открытой формой подачи предложений о цене по продаже объектов муниципальной собственности ГО Красноуфимск, осуществляется в электронной форме.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продажи.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1501" w:leader="none"/>
        </w:tabs>
        <w:suppressAutoHyphens w:val="true"/>
        <w:bidi w:val="0"/>
        <w:spacing w:lineRule="auto" w:line="240" w:before="0" w:after="0"/>
        <w:ind w:left="360" w:right="0"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2. Срок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порядок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регистрации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на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электронной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площадке.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1501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b w:val="false"/>
          <w:bCs w:val="false"/>
          <w:sz w:val="24"/>
          <w:szCs w:val="24"/>
        </w:rPr>
        <w:t>Оператор электронной площадки - АО</w:t>
      </w:r>
      <w:r>
        <w:rPr>
          <w:b w:val="false"/>
          <w:bCs w:val="false"/>
          <w:spacing w:val="-3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«Сбербанк-АСТ»</w:t>
      </w:r>
    </w:p>
    <w:p>
      <w:pPr>
        <w:pStyle w:val="TableParagraph"/>
        <w:widowControl w:val="fals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bidi w:val="0"/>
        <w:spacing w:lineRule="exact" w:line="278" w:before="2" w:after="0"/>
        <w:ind w:left="0" w:right="0" w:hanging="0"/>
        <w:jc w:val="both"/>
        <w:textAlignment w:val="baseline"/>
        <w:rPr>
          <w:rFonts w:ascii="Times New Roman" w:hAnsi="Times New Roman"/>
          <w:b/>
          <w:b/>
          <w:sz w:val="26"/>
          <w:szCs w:val="24"/>
        </w:rPr>
      </w:pPr>
      <w:r>
        <w:rPr>
          <w:b w:val="false"/>
          <w:bCs w:val="false"/>
          <w:sz w:val="24"/>
          <w:szCs w:val="24"/>
        </w:rPr>
        <w:t>Адрес</w:t>
      </w:r>
      <w:r>
        <w:rPr>
          <w:b w:val="false"/>
          <w:bCs w:val="false"/>
          <w:spacing w:val="-7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торговой</w:t>
      </w:r>
      <w:r>
        <w:rPr>
          <w:b w:val="false"/>
          <w:bCs w:val="false"/>
          <w:spacing w:val="-6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 xml:space="preserve">площадки - </w:t>
      </w:r>
      <w:hyperlink r:id="rId5">
        <w:r>
          <w:rPr>
            <w:b w:val="false"/>
            <w:bCs w:val="false"/>
            <w:sz w:val="24"/>
            <w:szCs w:val="24"/>
          </w:rPr>
          <w:t>http://utp.sberbank-ast.ru</w:t>
        </w:r>
      </w:hyperlink>
    </w:p>
    <w:p>
      <w:pPr>
        <w:pStyle w:val="TableParagraph"/>
        <w:widowControl w:val="fals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bidi w:val="0"/>
        <w:spacing w:lineRule="exact" w:line="298" w:before="2" w:after="0"/>
        <w:ind w:left="0" w:right="0" w:hanging="0"/>
        <w:jc w:val="both"/>
        <w:textAlignment w:val="baseline"/>
        <w:rPr>
          <w:rFonts w:ascii="Times New Roman" w:hAnsi="Times New Roman"/>
          <w:b/>
          <w:b/>
          <w:sz w:val="26"/>
          <w:szCs w:val="24"/>
        </w:rPr>
      </w:pPr>
      <w:r>
        <w:rPr>
          <w:b w:val="false"/>
          <w:bCs w:val="false"/>
          <w:sz w:val="24"/>
          <w:szCs w:val="24"/>
        </w:rPr>
        <w:t>Место</w:t>
      </w:r>
      <w:r>
        <w:rPr>
          <w:b w:val="false"/>
          <w:bCs w:val="false"/>
          <w:spacing w:val="-5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приема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заявок - электронная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площадка Сбербанк-АСТ</w:t>
      </w:r>
      <w:r>
        <w:rPr>
          <w:b w:val="false"/>
          <w:bCs w:val="false"/>
          <w:spacing w:val="1"/>
          <w:sz w:val="24"/>
          <w:szCs w:val="24"/>
        </w:rPr>
        <w:t xml:space="preserve">  </w:t>
      </w:r>
      <w:hyperlink r:id="rId6">
        <w:r>
          <w:rPr>
            <w:b w:val="false"/>
            <w:bCs w:val="false"/>
            <w:w w:val="95"/>
            <w:sz w:val="24"/>
            <w:szCs w:val="24"/>
          </w:rPr>
          <w:t>http://utp.sberbank-ast.ru/AP</w:t>
        </w:r>
      </w:hyperlink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обеспечения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доступа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электронном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аукционе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юридическому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лицу,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желающему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приобрести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имущество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– Претендентам)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пройти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процедуру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регистрации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электронной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площадке.</w:t>
      </w:r>
    </w:p>
    <w:p>
      <w:pPr>
        <w:pStyle w:val="Style17"/>
        <w:widowControl/>
        <w:suppressAutoHyphens w:val="true"/>
        <w:overflowPunct w:val="false"/>
        <w:bidi w:val="0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Регистрация</w:t>
      </w:r>
      <w:r>
        <w:rPr>
          <w:b w:val="false"/>
          <w:bCs w:val="false"/>
          <w:spacing w:val="-4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на электронной</w:t>
      </w:r>
      <w:r>
        <w:rPr>
          <w:b w:val="false"/>
          <w:bCs w:val="false"/>
          <w:spacing w:val="-4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площадке</w:t>
      </w:r>
      <w:r>
        <w:rPr>
          <w:b w:val="false"/>
          <w:bCs w:val="false"/>
          <w:spacing w:val="-3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осуществляется</w:t>
      </w:r>
      <w:r>
        <w:rPr>
          <w:b w:val="false"/>
          <w:bCs w:val="false"/>
          <w:spacing w:val="-2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без</w:t>
      </w:r>
      <w:r>
        <w:rPr>
          <w:b w:val="false"/>
          <w:bCs w:val="false"/>
          <w:spacing w:val="-3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взимания</w:t>
      </w:r>
      <w:r>
        <w:rPr>
          <w:b w:val="false"/>
          <w:bCs w:val="false"/>
          <w:spacing w:val="-3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платы.</w:t>
      </w:r>
    </w:p>
    <w:p>
      <w:pPr>
        <w:pStyle w:val="Style17"/>
        <w:widowControl/>
        <w:suppressAutoHyphens w:val="true"/>
        <w:overflowPunct w:val="false"/>
        <w:bidi w:val="0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Регистрации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на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электронной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площадке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подлежат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Претенденты,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ранее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не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зарегистрированные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на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электронной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площадке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или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регистрация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которых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на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электронной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площадке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была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прекращена.</w:t>
      </w:r>
    </w:p>
    <w:p>
      <w:pPr>
        <w:pStyle w:val="Style17"/>
        <w:widowControl/>
        <w:suppressAutoHyphens w:val="true"/>
        <w:overflowPunct w:val="false"/>
        <w:bidi w:val="0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Регистрация на электронной площадке проводится в соответствии с Регламентом</w:t>
      </w:r>
      <w:r>
        <w:rPr>
          <w:b w:val="false"/>
          <w:bCs w:val="false"/>
          <w:spacing w:val="-62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электронной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площадки.</w:t>
      </w:r>
    </w:p>
    <w:p>
      <w:pPr>
        <w:pStyle w:val="Style17"/>
        <w:widowControl/>
        <w:suppressAutoHyphens w:val="true"/>
        <w:overflowPunct w:val="false"/>
        <w:bidi w:val="0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Дата и время регистрации на электронной площадке Претендентов на участие в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Аукционе осуществляется ежедневно, круглосуточно, но не позднее даты и времени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окончания</w:t>
      </w:r>
      <w:r>
        <w:rPr>
          <w:b w:val="false"/>
          <w:bCs w:val="false"/>
          <w:spacing w:val="-2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подачи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(приема)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Заявок.</w:t>
      </w:r>
    </w:p>
    <w:p>
      <w:pPr>
        <w:pStyle w:val="ListParagraph"/>
        <w:numPr>
          <w:ilvl w:val="0"/>
          <w:numId w:val="0"/>
        </w:numPr>
        <w:overflowPunct w:val="false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b/>
          <w:bCs/>
          <w:sz w:val="24"/>
          <w:szCs w:val="24"/>
        </w:rPr>
        <w:tab/>
        <w:t>3. Порядок внесения и возврата задатка.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Задаток по лоту вносится </w:t>
      </w:r>
      <w:r>
        <w:rPr>
          <w:b/>
          <w:bCs/>
          <w:sz w:val="24"/>
          <w:szCs w:val="24"/>
        </w:rPr>
        <w:t xml:space="preserve">с </w:t>
      </w:r>
      <w:r>
        <w:rPr>
          <w:b/>
          <w:bCs/>
          <w:color w:val="000000"/>
          <w:sz w:val="24"/>
          <w:szCs w:val="24"/>
        </w:rPr>
        <w:t xml:space="preserve">05.03.2022 г. по 30.03.2022 г. </w:t>
      </w:r>
      <w:r>
        <w:rPr>
          <w:bCs/>
          <w:sz w:val="24"/>
          <w:szCs w:val="24"/>
        </w:rPr>
        <w:t xml:space="preserve">включительно путем перечисления денежных средств с указанием лота на счет электронной площадки </w:t>
      </w:r>
      <w:r>
        <w:rPr>
          <w:sz w:val="24"/>
          <w:szCs w:val="24"/>
        </w:rPr>
        <w:t>АО "Сбербанк-АСТ".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Реквизиты оплаты задатка:  </w:t>
      </w:r>
    </w:p>
    <w:p>
      <w:pPr>
        <w:pStyle w:val="Style17"/>
        <w:spacing w:lineRule="auto" w:line="240" w:before="0" w:after="0"/>
        <w:ind w:left="0" w:right="0" w:firstLine="709"/>
        <w:rPr/>
      </w:pPr>
      <w:r>
        <w:rPr>
          <w:rStyle w:val="Style15"/>
          <w:b/>
          <w:sz w:val="24"/>
          <w:szCs w:val="24"/>
        </w:rPr>
        <w:t>ПОЛУЧАТЕЛЬ: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sz w:val="24"/>
          <w:szCs w:val="24"/>
        </w:rPr>
        <w:t>Наименование: АО "Сбербанк-АСТ"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sz w:val="24"/>
          <w:szCs w:val="24"/>
        </w:rPr>
        <w:t>ИНН: 7707308480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sz w:val="24"/>
          <w:szCs w:val="24"/>
        </w:rPr>
        <w:t>КПП: 770401001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sz w:val="24"/>
          <w:szCs w:val="24"/>
        </w:rPr>
        <w:t>Расчетный счет: 40702810300020038047</w:t>
      </w:r>
    </w:p>
    <w:p>
      <w:pPr>
        <w:pStyle w:val="Style17"/>
        <w:spacing w:lineRule="auto" w:line="240" w:before="0" w:after="0"/>
        <w:ind w:left="0" w:right="0" w:firstLine="709"/>
        <w:rPr/>
      </w:pPr>
      <w:r>
        <w:rPr>
          <w:rStyle w:val="Style15"/>
          <w:b/>
          <w:sz w:val="24"/>
          <w:szCs w:val="24"/>
        </w:rPr>
        <w:t>БАНК ПОЛУЧАТЕЛЯ: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sz w:val="24"/>
          <w:szCs w:val="24"/>
        </w:rPr>
        <w:t>Наименование банка: ПАО "СБЕРБАНК РОССИИ" Г. МОСКВА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sz w:val="24"/>
          <w:szCs w:val="24"/>
        </w:rPr>
        <w:t>БИК: 044525225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sz w:val="24"/>
          <w:szCs w:val="24"/>
        </w:rPr>
        <w:t>Корреспондентский счет: 30101810400000000225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имущества. </w:t>
      </w:r>
      <w:r>
        <w:rPr>
          <w:bCs/>
          <w:sz w:val="24"/>
          <w:szCs w:val="24"/>
        </w:rPr>
        <w:t xml:space="preserve">  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Лицам, перечислившим задаток для участия в продаже муниципального имущества на аукционе, денежные средства возвращаются в следующем порядке: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в)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 аукциона, не допущенных к участию в продаже имущества.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sz w:val="24"/>
          <w:szCs w:val="24"/>
        </w:rPr>
        <w:t>Суммы задатков возвращаются участникам аукциона согласно регламенту торговой площадки Сбербанк-АСТ.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4. Порядок подачи заявки на участие в электронном аукционе.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sz w:val="24"/>
          <w:szCs w:val="24"/>
        </w:rPr>
        <w:t>Претенденты представляют оператору электронной площадки Сбербанк – АСТ заявку с приложением необходимых документов в форме электронных документов</w:t>
      </w:r>
      <w:r>
        <w:rPr>
          <w:b/>
          <w:color w:val="000000"/>
          <w:sz w:val="24"/>
          <w:szCs w:val="24"/>
        </w:rPr>
        <w:t xml:space="preserve"> с 05.03.2022 г. 00 часов 01 мин. по 30.03.2022 г.</w:t>
      </w:r>
      <w:r>
        <w:rPr>
          <w:b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23 часа 59 мин. (время московское) </w:t>
      </w:r>
      <w:r>
        <w:rPr>
          <w:sz w:val="24"/>
          <w:szCs w:val="24"/>
        </w:rPr>
        <w:t xml:space="preserve">включительно.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>Одно лицо имеет право подать только 1 заявку.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Заявки с прилагаемыми к ним документами, поданные с нарушением установленного срока, на электронной площадке не регистрируются.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Одновременно с заявкой претенденты представляют следующие документы: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Для юридических лиц: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заверенные копии учредительных документов;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-в случае, если от имени претендента действует его представитель </w:t>
        <w:br/>
        <w:t xml:space="preserve">по доверенности, прилагается доверенность на осуществление действий </w:t>
        <w:br/>
        <w:t xml:space="preserve">от имени претендента, оформленная в установленном порядке, или нотариально заверенная копия такой доверенности. В случае, если доверенность </w:t>
        <w:br/>
        <w:t xml:space="preserve">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-в случае, если от имени претендента действует его представитель </w:t>
        <w:br/>
        <w:t>по доверенности, прилагается копия всех страниц документа, удостоверяющего личность представителя Претендента;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-опись представленных документов, подписанная Претендентом или его доверенным лицом (представителем).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Для физических лиц (в том числе индивидуальных предпринимателей):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-копию всех листов документа, удостоверяющего личность;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-в случае, если от имени претендента действует его представитель </w:t>
        <w:br/>
        <w:t xml:space="preserve">по доверенности, прилагается копия всех страниц паспорта представителя, </w:t>
        <w:br/>
        <w:t>а также доверенность, оформленная в установленном порядке или нотариально заверенная копия такой доверенности;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-в случае, если от имени претендента действует его представитель </w:t>
        <w:br/>
        <w:t xml:space="preserve">по доверенности, прилагается доверенность на осуществление действий </w:t>
        <w:br/>
        <w:t>от имени претендента, оформленная в установленном порядке, или нотариально заверенная копия такой доверенности.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-опись представленных документов, подписанная Претендентом или его доверенным лицом (представителем).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Подача претендентом заявки подтверждает, что компетенция (полномочия) организатора торгов и продавца имущества претенденту понятна и им не оспаривается; претендент осознает, понимает и соглашается с характеристиками, ценой приобретаемого им имущества и иными условиями приобретения имущества.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Претендент не допускается к участию в аукционе по следующим основаниям: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заявка подана лицом, не уполномоченным претендентом на осуществление таких действий;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не подтверждено поступление в установленный срок задатка на счета, указанные в информационном сообщении.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Перечень оснований отказа претенденту в участии в аукционе является исчерпывающим.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  Сбербанк - АСТ.</w:t>
      </w:r>
    </w:p>
    <w:p>
      <w:pPr>
        <w:pStyle w:val="ListParagraph"/>
        <w:numPr>
          <w:ilvl w:val="0"/>
          <w:numId w:val="0"/>
        </w:numPr>
        <w:overflowPunct w:val="false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ab/>
        <w:t xml:space="preserve">5. Ограничения участия в аукционе отдельных категорий физических </w:t>
        <w:br/>
        <w:t>и юридических лиц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Покупателями государственного и муниципального имущества могут быть любые физические и юридические лица, за исключением: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государственных и муниципальных унитарных предприятий, государственных и муниципальных учреждений;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/>
      </w:pPr>
      <w:r>
        <w:rPr>
          <w:sz w:val="24"/>
          <w:szCs w:val="24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7">
        <w:r>
          <w:rPr>
            <w:sz w:val="24"/>
            <w:szCs w:val="24"/>
          </w:rPr>
          <w:t>статьей 25</w:t>
        </w:r>
      </w:hyperlink>
      <w:r>
        <w:rPr>
          <w:sz w:val="24"/>
          <w:szCs w:val="24"/>
        </w:rPr>
        <w:t xml:space="preserve"> Федерального закона </w:t>
      </w:r>
      <w:r>
        <w:rPr>
          <w:rStyle w:val="FontStyle14"/>
          <w:sz w:val="24"/>
          <w:szCs w:val="24"/>
        </w:rPr>
        <w:t>от 21.12.2001 N 178-ФЗ (ред. от 31.07.2020) "О приватизации государственного и муниципального имущества"</w:t>
      </w:r>
      <w:r>
        <w:rPr>
          <w:sz w:val="24"/>
          <w:szCs w:val="24"/>
        </w:rPr>
        <w:t>;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/>
      </w:pPr>
      <w:r>
        <w:rPr>
          <w:sz w:val="24"/>
          <w:szCs w:val="24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>
        <w:r>
          <w:rPr>
            <w:sz w:val="24"/>
            <w:szCs w:val="24"/>
          </w:rPr>
          <w:t>перечень</w:t>
        </w:r>
      </w:hyperlink>
      <w:r>
        <w:rPr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Понятие «контролирующее лицо» используется в том же значении, что и в статье 5 Федерального закона от 29 апреля 2008 года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статье 3 Федерального закона от 7 августа 2001 года № 115-ФЗ «О противодействии легализации (отмыванию) доходов, полученных преступным путем, и финансированию терроризма».</w:t>
      </w:r>
    </w:p>
    <w:p>
      <w:pPr>
        <w:pStyle w:val="ListParagraph"/>
        <w:numPr>
          <w:ilvl w:val="0"/>
          <w:numId w:val="0"/>
        </w:numPr>
        <w:overflowPunct w:val="false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ab/>
        <w:t>6. Порядок разъяснения размещенной информации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случае отзыва претендентом заявки,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 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ab/>
        <w:t>7. Требования к оформлению представляемых участниками документов.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Документооборот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или участника либо лица, имеющего право действовать от имени соответственно претендента или участника. Заключение  договора  купли-продажи  имущества  осуществляется  в форме электронного документа .</w:t>
      </w:r>
    </w:p>
    <w:p>
      <w:pPr>
        <w:pStyle w:val="ListParagraph"/>
        <w:numPr>
          <w:ilvl w:val="0"/>
          <w:numId w:val="0"/>
        </w:numPr>
        <w:overflowPunct w:val="false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ab/>
        <w:t>8. Определение участников аукциона.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Признание заявителей участниками аукциона (рассмотрение заявок и документов претендентов) проводится </w:t>
      </w:r>
      <w:r>
        <w:rPr>
          <w:b/>
          <w:bCs/>
          <w:sz w:val="24"/>
          <w:szCs w:val="24"/>
        </w:rPr>
        <w:t>05.</w:t>
      </w:r>
      <w:r>
        <w:rPr>
          <w:b/>
          <w:sz w:val="24"/>
          <w:szCs w:val="24"/>
        </w:rPr>
        <w:t>04.</w:t>
      </w:r>
      <w:r>
        <w:rPr>
          <w:b/>
          <w:bCs/>
          <w:sz w:val="24"/>
          <w:szCs w:val="24"/>
        </w:rPr>
        <w:t>2022 г. в 08.00 часов (время московское)</w:t>
      </w:r>
      <w:r>
        <w:rPr>
          <w:sz w:val="24"/>
          <w:szCs w:val="24"/>
        </w:rPr>
        <w:t xml:space="preserve">;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Аукцион признается несостоявшимся в следующих случаях: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а) не было подано ни одной заявки на участие либо ни один из претендентов не признан участником; 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б) принято решение о признании только одного претендента участником;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в) ни один из участников не сделал предложение о начальной цене имущества.        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482" w:leader="none"/>
        </w:tabs>
        <w:spacing w:lineRule="auto" w:line="240" w:before="0" w:after="0"/>
        <w:ind w:left="218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>9. Порядок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проведения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электронного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аукциона.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482" w:leader="none"/>
        </w:tabs>
        <w:spacing w:lineRule="auto" w:line="240" w:before="0" w:after="0"/>
        <w:ind w:left="218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b w:val="false"/>
          <w:bCs w:val="false"/>
          <w:spacing w:val="1"/>
          <w:sz w:val="24"/>
          <w:szCs w:val="24"/>
        </w:rPr>
        <w:t xml:space="preserve">        </w:t>
      </w:r>
      <w:r>
        <w:rPr>
          <w:b w:val="false"/>
          <w:bCs w:val="false"/>
          <w:spacing w:val="1"/>
          <w:sz w:val="24"/>
          <w:szCs w:val="24"/>
        </w:rPr>
        <w:t>Э</w:t>
      </w:r>
      <w:r>
        <w:rPr>
          <w:sz w:val="24"/>
          <w:szCs w:val="24"/>
        </w:rPr>
        <w:t>лектронный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аукцион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проводится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указанные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сообщении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день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путем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последовательного повышения участниками начальной цены не величину, равную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кратную величине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«шага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аукциона».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b w:val="false"/>
          <w:bCs w:val="false"/>
          <w:sz w:val="24"/>
          <w:szCs w:val="24"/>
        </w:rPr>
        <w:t>«Шаг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аукциона»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устанавливается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Продавцом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фиксированной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сумме,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составляющей не более 5 (пяти) процентов начальной цены продажи, и не изменяется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</w:t>
      </w:r>
      <w:r>
        <w:rPr>
          <w:b w:val="false"/>
          <w:bCs w:val="false"/>
          <w:spacing w:val="-2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течение</w:t>
      </w:r>
      <w:r>
        <w:rPr>
          <w:b w:val="false"/>
          <w:bCs w:val="false"/>
          <w:spacing w:val="2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всего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аукциона.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Во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время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проведения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процедуры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аукциона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Оператор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обеспечивает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доступ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участников к закрытой части электронной площадки и возможность предоставления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ими</w:t>
      </w:r>
      <w:r>
        <w:rPr>
          <w:b w:val="false"/>
          <w:bCs w:val="false"/>
          <w:spacing w:val="-2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предложений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о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цене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имущества.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Со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временем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начала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проведения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процедуры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аукциона</w:t>
      </w:r>
      <w:r>
        <w:rPr>
          <w:b w:val="false"/>
          <w:bCs w:val="false"/>
          <w:spacing w:val="66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Оператором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размещается: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00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открытой части электронной площадки – информация о начале проведения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процедуры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аукциона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указанием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наименования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имущества,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текущего «шага аукциона»;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095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закрытой части электронной площадки – помимо информации, указанной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открытой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электронной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площадки,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имущества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поступления,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величина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повышения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(«шаг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аукциона»),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оставшееся до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окончания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приема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предложений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имущества.</w:t>
      </w:r>
    </w:p>
    <w:p>
      <w:pPr>
        <w:pStyle w:val="Style17"/>
        <w:spacing w:lineRule="auto" w:line="240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В течении одного часа со времени начала проведения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процедуры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аукциона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участникам предлагается заявить о приобретении имущества по начальной цене. В</w:t>
      </w:r>
      <w:r>
        <w:rPr>
          <w:b w:val="false"/>
          <w:bCs w:val="false"/>
          <w:spacing w:val="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случае,</w:t>
      </w:r>
      <w:r>
        <w:rPr>
          <w:b w:val="false"/>
          <w:bCs w:val="false"/>
          <w:spacing w:val="-2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если</w:t>
      </w:r>
      <w:r>
        <w:rPr>
          <w:b w:val="false"/>
          <w:bCs w:val="false"/>
          <w:spacing w:val="2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течение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указанного</w:t>
      </w:r>
      <w:r>
        <w:rPr>
          <w:b w:val="false"/>
          <w:bCs w:val="false"/>
          <w:spacing w:val="-1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времени: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220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поступило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имущества,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следующих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увеличенной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«шаг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аукциона»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цене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>имущества продлевается на 10 минут со времени представления каждого следующего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предложения. Если в течение 10 минут после представления последнего предложения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имущества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следующее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поступило,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аукцион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программно-аппаратных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средств электронной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площадки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завершается;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72" w:leader="none"/>
        </w:tabs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поступило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имущества,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аукцион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программно-аппаратных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электронной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площадки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завершается. В этом случае временем окончания представления предложений о цене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имущества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завершения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аукциона.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10. Порядок определения победителей.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указывается участник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б) цена сделки;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11. Заключение договора купли-продажи.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течение 5 рабочих дней со дня подведения итогов аукциона с победителем заключается договор купли-продажи имущества.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 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Задаток победителя продажи муниципального имущества засчитывается в счет оплаты приобретаемого имущества и подлежит перечислению в установленном порядке в муниципального образования в течение 5 календарных дней со дня истечения срока, установленного для заключения договора купли-продажи имущества.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/>
      </w:pPr>
      <w:r>
        <w:rPr>
          <w:sz w:val="24"/>
          <w:szCs w:val="24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9">
        <w:r>
          <w:rPr>
            <w:sz w:val="24"/>
            <w:szCs w:val="24"/>
          </w:rPr>
          <w:t>законодательством</w:t>
        </w:r>
      </w:hyperlink>
      <w:r>
        <w:rPr>
          <w:sz w:val="24"/>
          <w:szCs w:val="24"/>
        </w:rPr>
        <w:t xml:space="preserve"> Российской Федерации в договоре купли-продажи имущества, задаток ему не возвращается.</w:t>
      </w:r>
    </w:p>
    <w:p>
      <w:pPr>
        <w:pStyle w:val="Normal"/>
        <w:overflowPunct w:val="false"/>
        <w:spacing w:lineRule="auto" w:line="240" w:before="0" w:after="0"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Денежные средства в счет оплаты муниципального имущества, подлежат перечислению победителем единовременным платежом в установленном порядке в бюджет муниципального образования в размере и сроки, которые указаны в договоре купли-продажи имущества, не позднее 15 рабочих дней со дня заключения такого договора по следующим реквизитам: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Продавец: </w:t>
      </w:r>
      <w:r>
        <w:rPr>
          <w:sz w:val="24"/>
          <w:szCs w:val="24"/>
        </w:rPr>
        <w:t>ОМС «Управление муниципальным имуществом городского округа Красноуфимск».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623300, Свердловская область, г. Красноуфимск, ул. Советская, 25-112.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Реквизиты оплаты: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Получатель: </w:t>
      </w:r>
      <w:r>
        <w:rPr>
          <w:sz w:val="24"/>
          <w:szCs w:val="24"/>
        </w:rPr>
        <w:t xml:space="preserve">УФК по Свердловской области (ОМС Управление муниципальным имуществом городского округа Красноуфимск)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ИНН 6619007115 КПП 661901001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Счет получателя  40101810500000010010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Банк получателя Уральское ГУ Банка России г. Екатеринбург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БИК 046577001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КБК   </w:t>
      </w:r>
      <w:r>
        <w:rPr>
          <w:b/>
          <w:sz w:val="24"/>
          <w:szCs w:val="24"/>
        </w:rPr>
        <w:t>90211402043040001410     ОКТМО 65747000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Назначение платежа: </w:t>
      </w:r>
      <w:r>
        <w:rPr>
          <w:sz w:val="24"/>
          <w:szCs w:val="24"/>
        </w:rPr>
        <w:t>Доходы по договору купли-продажи муниципального имущества № ___  от «___» _____2022 года, № __ лота.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Исчисление, уплата налогов в связи с покупкой имущества осуществляются претендентами в порядке и сроки, предусмотренные налоговом законодательством.</w:t>
      </w:r>
    </w:p>
    <w:p>
      <w:pPr>
        <w:pStyle w:val="TableParagraph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  <w:t>12. Дата,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время,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график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проведения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осмотра имущества, права на которое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передаются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договору.</w:t>
      </w:r>
    </w:p>
    <w:p>
      <w:pPr>
        <w:pStyle w:val="TableParagraph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Проведение осмотра осуществляется 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предварительной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договоренности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тел.</w:t>
      </w:r>
      <w:r>
        <w:rPr>
          <w:spacing w:val="1"/>
          <w:sz w:val="24"/>
          <w:szCs w:val="24"/>
        </w:rPr>
        <w:t xml:space="preserve"> 8(34394) 5-16-91, 8(34394) 5-17-21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Осмотр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имущества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производится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рабочие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(понедельник,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вторник,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четверг, пятница) с 05.03.2022г. по 30.03.2022г  с 09.00 до 16.00 (время местное)</w:t>
      </w:r>
      <w:r>
        <w:rPr>
          <w:b/>
          <w:sz w:val="24"/>
          <w:szCs w:val="24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13. Порядок ознакомления с информацией о подлежащем приватизации имуществе, в том числе с условиями договора купли-продажи имущества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Иную информацию об аукционе, о подлежащем приватизации имуществе, об условиях договора купли-продажи можно получить у Продавца по рабочим дням по телефонам с 05.03.2022г. по 30.03.2022г: 8(34394) 5-16-91, 8(34394) 5-17-21 или в ОМС «Управление муниципальным имуществом городского округа Красноуфимск» по адресу: г. Красноуфимск, ул. Советская, д. 25, каб. 112, с 08.30 до 17.45 с пн-чт., с 08.30 до 16.30 пт. (время местное).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sz w:val="24"/>
          <w:szCs w:val="24"/>
        </w:rPr>
        <w:t xml:space="preserve">Образец  заявки установленной формы, проект договора купли-продажи и иная информация об аукционе размещается на электронной площадке Сбербанк – АСТ (http://utp.sberbank-ast.ru/AP), официальном сайте Администрации городского округа Красноуфимск </w:t>
      </w:r>
      <w:r>
        <w:rPr>
          <w:rStyle w:val="FontStyle21"/>
          <w:sz w:val="24"/>
          <w:szCs w:val="24"/>
        </w:rPr>
        <w:t>в сети «Интернет»</w:t>
      </w:r>
      <w:r>
        <w:rPr>
          <w:color w:val="FF6600"/>
          <w:sz w:val="24"/>
          <w:szCs w:val="24"/>
        </w:rPr>
        <w:t xml:space="preserve"> </w:t>
      </w:r>
      <w:r>
        <w:rPr>
          <w:sz w:val="24"/>
          <w:szCs w:val="24"/>
        </w:rPr>
        <w:t>go-kruf.midural.ru</w:t>
      </w:r>
      <w:r>
        <w:rPr>
          <w:color w:val="FF6600"/>
          <w:sz w:val="24"/>
          <w:szCs w:val="24"/>
        </w:rPr>
        <w:t xml:space="preserve"> </w:t>
      </w:r>
      <w:r>
        <w:rPr>
          <w:sz w:val="24"/>
          <w:szCs w:val="24"/>
        </w:rPr>
        <w:t>(раздел «</w:t>
      </w:r>
      <w:hyperlink r:id="rId10">
        <w:r>
          <w:rPr>
            <w:sz w:val="24"/>
            <w:szCs w:val="24"/>
          </w:rPr>
          <w:t>Управление муниципальным имуществом (УМИ)</w:t>
        </w:r>
      </w:hyperlink>
      <w:r>
        <w:rPr>
          <w:sz w:val="24"/>
          <w:szCs w:val="24"/>
        </w:rPr>
        <w:t>», подраздел «Продажа, аренда муниципального имущест</w:t>
      </w:r>
      <w:bookmarkEnd w:id="0"/>
      <w:r>
        <w:rPr>
          <w:sz w:val="24"/>
          <w:szCs w:val="24"/>
        </w:rPr>
        <w:t>ва»),</w:t>
      </w:r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официальном сайте торгов Российской Федерации </w:t>
      </w:r>
      <w:r>
        <w:rPr>
          <w:rStyle w:val="FontStyle21"/>
          <w:sz w:val="24"/>
          <w:szCs w:val="24"/>
        </w:rPr>
        <w:t xml:space="preserve">в сети «Интернет» </w:t>
      </w:r>
      <w:r>
        <w:rPr>
          <w:sz w:val="24"/>
          <w:szCs w:val="24"/>
        </w:rPr>
        <w:t>torgi.gov.ru.</w:t>
      </w:r>
    </w:p>
    <w:p>
      <w:pPr>
        <w:pStyle w:val="Normal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rPr>
          <w:szCs w:val="24"/>
        </w:rPr>
      </w:pPr>
      <w:r>
        <w:rPr>
          <w:szCs w:val="24"/>
        </w:rPr>
      </w:r>
    </w:p>
    <w:p>
      <w:pPr>
        <w:pStyle w:val="Normal"/>
        <w:ind w:firstLine="709"/>
        <w:rPr>
          <w:szCs w:val="24"/>
        </w:rPr>
      </w:pPr>
      <w:r>
        <w:rPr>
          <w:szCs w:val="24"/>
        </w:rPr>
        <w:t>Начальник                                                                                И.В. Лагунова</w:t>
      </w:r>
    </w:p>
    <w:sectPr>
      <w:type w:val="nextPage"/>
      <w:pgSz w:w="11906" w:h="16838"/>
      <w:pgMar w:left="1635" w:right="851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9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7" w:hanging="180"/>
      </w:p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218" w:hanging="173"/>
      </w:pPr>
      <w:rPr>
        <w:rFonts w:ascii="Times New Roman" w:hAnsi="Times New Roman" w:cs="Times New Roman" w:hint="default"/>
        <w:sz w:val="26"/>
        <w:szCs w:val="26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17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29" w:hanging="17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233" w:hanging="17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38" w:hanging="17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43" w:hanging="17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47" w:hanging="17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52" w:hanging="17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57" w:hanging="173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6ba2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516ba2"/>
    <w:pPr>
      <w:keepNext w:val="true"/>
      <w:overflowPunct w:val="false"/>
      <w:textAlignment w:val="auto"/>
      <w:outlineLvl w:val="0"/>
    </w:pPr>
    <w:rPr>
      <w:b/>
      <w:b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rsid w:val="00516ba2"/>
    <w:rPr>
      <w:color w:val="0000FF"/>
      <w:u w:val="single"/>
    </w:rPr>
  </w:style>
  <w:style w:type="character" w:styleId="FontStyle14" w:customStyle="1">
    <w:name w:val="Font Style14"/>
    <w:qFormat/>
    <w:rsid w:val="00516ba2"/>
    <w:rPr>
      <w:rFonts w:ascii="Times New Roman" w:hAnsi="Times New Roman" w:cs="Times New Roman"/>
      <w:sz w:val="22"/>
      <w:szCs w:val="22"/>
    </w:rPr>
  </w:style>
  <w:style w:type="character" w:styleId="FontStyle21" w:customStyle="1">
    <w:name w:val="Font Style21"/>
    <w:qFormat/>
    <w:rsid w:val="00516ba2"/>
    <w:rPr>
      <w:rFonts w:ascii="Times New Roman" w:hAnsi="Times New Roman" w:cs="Times New Roman"/>
      <w:sz w:val="24"/>
      <w:szCs w:val="24"/>
    </w:rPr>
  </w:style>
  <w:style w:type="character" w:styleId="Style14" w:customStyle="1">
    <w:name w:val="Текст выноски Знак"/>
    <w:qFormat/>
    <w:rsid w:val="005e57f7"/>
    <w:rPr>
      <w:rFonts w:ascii="Segoe UI" w:hAnsi="Segoe UI" w:cs="Segoe UI"/>
      <w:sz w:val="18"/>
      <w:szCs w:val="18"/>
    </w:rPr>
  </w:style>
  <w:style w:type="character" w:styleId="Style15" w:customStyle="1">
    <w:name w:val="Выделение жирным"/>
    <w:qFormat/>
    <w:rPr>
      <w:b/>
      <w:bCs/>
    </w:rPr>
  </w:style>
  <w:style w:type="paragraph" w:styleId="Style16" w:customStyle="1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rsid w:val="00516ba2"/>
    <w:pPr>
      <w:overflowPunct w:val="false"/>
      <w:jc w:val="both"/>
      <w:textAlignment w:val="auto"/>
    </w:pPr>
    <w:rPr>
      <w:b/>
      <w:bCs/>
      <w:szCs w:val="24"/>
    </w:rPr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yle91" w:customStyle="1">
    <w:name w:val="Style9"/>
    <w:basedOn w:val="Normal"/>
    <w:uiPriority w:val="99"/>
    <w:qFormat/>
    <w:rsid w:val="00516ba2"/>
    <w:pPr>
      <w:widowControl w:val="false"/>
      <w:overflowPunct w:val="false"/>
      <w:spacing w:lineRule="exact" w:line="322"/>
      <w:textAlignment w:val="auto"/>
    </w:pPr>
    <w:rPr>
      <w:szCs w:val="24"/>
    </w:rPr>
  </w:style>
  <w:style w:type="paragraph" w:styleId="Style101" w:customStyle="1">
    <w:name w:val="Style10"/>
    <w:basedOn w:val="Normal"/>
    <w:qFormat/>
    <w:rsid w:val="00bd3f73"/>
    <w:pPr>
      <w:widowControl w:val="false"/>
      <w:overflowPunct w:val="false"/>
      <w:spacing w:lineRule="exact" w:line="322"/>
      <w:jc w:val="both"/>
      <w:textAlignment w:val="auto"/>
    </w:pPr>
    <w:rPr>
      <w:szCs w:val="24"/>
    </w:rPr>
  </w:style>
  <w:style w:type="paragraph" w:styleId="BalloonText">
    <w:name w:val="Balloon Text"/>
    <w:basedOn w:val="Normal"/>
    <w:qFormat/>
    <w:rsid w:val="005e57f7"/>
    <w:pPr/>
    <w:rPr>
      <w:rFonts w:ascii="Segoe UI" w:hAnsi="Segoe UI" w:cs="Segoe UI"/>
      <w:sz w:val="18"/>
      <w:szCs w:val="18"/>
    </w:rPr>
  </w:style>
  <w:style w:type="paragraph" w:styleId="Style71" w:customStyle="1">
    <w:name w:val="Style7"/>
    <w:basedOn w:val="Normal"/>
    <w:uiPriority w:val="99"/>
    <w:qFormat/>
    <w:rsid w:val="00cc5333"/>
    <w:pPr>
      <w:widowControl w:val="false"/>
      <w:overflowPunct w:val="false"/>
      <w:spacing w:lineRule="exact" w:line="322"/>
      <w:jc w:val="center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823606"/>
    <w:pPr>
      <w:ind w:left="708" w:hanging="0"/>
    </w:pPr>
    <w:rPr/>
  </w:style>
  <w:style w:type="paragraph" w:styleId="Style21">
    <w:name w:val="Содержимое врезки"/>
    <w:basedOn w:val="Normal"/>
    <w:qFormat/>
    <w:pPr/>
    <w:rPr/>
  </w:style>
  <w:style w:type="paragraph" w:styleId="TableParagraph">
    <w:name w:val="Table Paragraph"/>
    <w:basedOn w:val="Normal"/>
    <w:qFormat/>
    <w:pPr>
      <w:ind w:left="107" w:right="0" w:hanging="0"/>
    </w:pPr>
    <w:rPr>
      <w:rFonts w:ascii="Times New Roman" w:hAnsi="Times New Roman" w:eastAsia="Times New Roman" w:cs="Times New Roman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umi@krasnoufimsk.ru" TargetMode="External"/><Relationship Id="rId4" Type="http://schemas.openxmlformats.org/officeDocument/2006/relationships/hyperlink" Target="consultantplus://offline/ref=0DB0899EF8BD5F5F958DCCD6ED46571A0CF94659F44BE3FAAA3A6E75AAEE78638303667C9E3DA3C008G5I" TargetMode="External"/><Relationship Id="rId5" Type="http://schemas.openxmlformats.org/officeDocument/2006/relationships/hyperlink" Target="http://utp.sberbank-ast.ru/" TargetMode="External"/><Relationship Id="rId6" Type="http://schemas.openxmlformats.org/officeDocument/2006/relationships/hyperlink" Target="http://utp.sberbank-ast.ru/AP" TargetMode="External"/><Relationship Id="rId7" Type="http://schemas.openxmlformats.org/officeDocument/2006/relationships/hyperlink" Target="consultantplus://offline/ref=DD06494D48C9D5DCA1210C91BAFA3A0F104DCE11985EEAD068712DD3D51F7B21A02D877D16244D89C91DE6BC6E9D2E147F2FF32C49rF1CJ" TargetMode="External"/><Relationship Id="rId8" Type="http://schemas.openxmlformats.org/officeDocument/2006/relationships/hyperlink" Target="consultantplus://offline/ref=DD06494D48C9D5DCA1210C91BAFA3A0F1140C518995AEAD068712DD3D51F7B21A02D877C19751799CD54B3B57099390A7431F3r21CJ" TargetMode="External"/><Relationship Id="rId9" Type="http://schemas.openxmlformats.org/officeDocument/2006/relationships/hyperlink" Target="consultantplus://offline/ref=06F57239E476571CDAFE910F37733A3380A70CDE3574E38278D6D01C428566F77F246AB34BDD197F1C84B824F88DB2BBEB7EC6E43DE84FC7J5oDK" TargetMode="External"/><Relationship Id="rId10" Type="http://schemas.openxmlformats.org/officeDocument/2006/relationships/hyperlink" Target="http://go-kruf.midural.ru/article/show/id/173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43F6D-CCD8-4781-BB7A-AC4D87B02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Application>LibreOffice/7.1.4.2$Windows_X86_64 LibreOffice_project/a529a4fab45b75fefc5b6226684193eb000654f6</Application>
  <AppVersion>15.0000</AppVersion>
  <Pages>8</Pages>
  <Words>2934</Words>
  <Characters>20845</Characters>
  <CharactersWithSpaces>23808</CharactersWithSpaces>
  <Paragraphs>163</Paragraphs>
  <Company>КонсультантПлюс Версия 4021.00.65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2022-03-04T15:36:00Z</dcterms:created>
  <dc:creator>Zver</dc:creator>
  <dc:description/>
  <dc:language>ru-RU</dc:language>
  <cp:lastModifiedBy/>
  <cp:lastPrinted>2022-03-03T17:10:35Z</cp:lastPrinted>
  <dcterms:modified xsi:type="dcterms:W3CDTF">2022-03-04T15:38:49Z</dcterms:modified>
  <cp:revision>48</cp:revision>
  <dc:subject/>
  <dc:title>"Гражданский кодекс Российской Федерации (часть первая)" от 30.11.1994 N 51-ФЗ(ред. от 21.12.2021)(с изм. и доп., вступ. в силу с 01.03.2022)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